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firstLine="2200" w:firstLineChars="500"/>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霸州市市场监督管理局</w:t>
      </w:r>
    </w:p>
    <w:p>
      <w:pPr>
        <w:pStyle w:val="3"/>
        <w:spacing w:line="600" w:lineRule="exact"/>
        <w:ind w:firstLine="2640" w:firstLineChars="600"/>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行政处罚决定书</w:t>
      </w:r>
    </w:p>
    <w:p>
      <w:pPr>
        <w:tabs>
          <w:tab w:val="left" w:pos="2725"/>
        </w:tabs>
        <w:spacing w:before="31" w:line="185" w:lineRule="auto"/>
        <w:ind w:firstLine="2754" w:firstLineChars="900"/>
        <w:jc w:val="both"/>
        <w:rPr>
          <w:rFonts w:ascii="仿宋" w:hAnsi="仿宋" w:eastAsia="仿宋" w:cs="仿宋"/>
          <w:spacing w:val="-7"/>
          <w:sz w:val="32"/>
          <w:szCs w:val="32"/>
        </w:rPr>
      </w:pPr>
      <w:r>
        <w:rPr>
          <w:rFonts w:hint="eastAsia" w:ascii="仿宋" w:hAnsi="仿宋" w:eastAsia="仿宋" w:cs="仿宋"/>
          <w:spacing w:val="-7"/>
          <w:sz w:val="32"/>
          <w:szCs w:val="32"/>
        </w:rPr>
        <w:t>霸</w:t>
      </w:r>
      <w:r>
        <w:rPr>
          <w:rFonts w:ascii="仿宋" w:hAnsi="仿宋" w:eastAsia="仿宋" w:cs="仿宋"/>
          <w:spacing w:val="-7"/>
          <w:sz w:val="32"/>
          <w:szCs w:val="32"/>
        </w:rPr>
        <w:t>市监处罚</w:t>
      </w: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2024</w:t>
      </w: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40</w:t>
      </w:r>
      <w:r>
        <w:rPr>
          <w:rFonts w:hint="eastAsia" w:ascii="仿宋" w:hAnsi="仿宋" w:eastAsia="仿宋" w:cs="仿宋"/>
          <w:spacing w:val="-7"/>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当事人：</w:t>
      </w:r>
      <w:r>
        <w:rPr>
          <w:rFonts w:hint="eastAsia" w:ascii="仿宋" w:hAnsi="仿宋" w:eastAsia="仿宋" w:cs="仿宋"/>
          <w:sz w:val="28"/>
          <w:szCs w:val="28"/>
          <w:lang w:eastAsia="zh-CN"/>
        </w:rPr>
        <w:t>霸州市裕华邵婷蔬菜店</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sz w:val="28"/>
          <w:szCs w:val="28"/>
          <w:lang w:eastAsia="zh-CN"/>
        </w:rPr>
        <w:t>92131081MA0BWFW06G</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住所（住址）：</w:t>
      </w:r>
      <w:r>
        <w:rPr>
          <w:rFonts w:hint="eastAsia" w:ascii="仿宋" w:hAnsi="仿宋" w:eastAsia="仿宋" w:cs="仿宋"/>
          <w:sz w:val="28"/>
          <w:szCs w:val="28"/>
          <w:lang w:eastAsia="zh-CN"/>
        </w:rPr>
        <w:t>河北省廊坊市霸州市北菜市场15号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经营者：</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身份证件号码：</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2023年11月6日，霸州市市场监督管理局执法人员与河北省食品检验研究院抽样人员对霸州市裕华邵婷蔬菜店销售的大葱进行抽样检验，抽样基数6.6kg，抽样数量6.35kg。2023年12月5日，霸州市市场监督管理局收到河北省食品检验研究院关于霸州市裕华邵婷蔬菜店关于大葱的检验报告，N0：JSP2023CJ30674，经抽样检验：噻虫嗪项目不符合GB2763-2021《食品安全国家标准食品中农药最大残留限量》要求，检验结论为不合格。2023年12月5日我局执法人员</w:t>
      </w:r>
      <w:bookmarkStart w:id="0" w:name="_GoBack"/>
      <w:bookmarkEnd w:id="0"/>
      <w:r>
        <w:rPr>
          <w:rFonts w:hint="eastAsia" w:ascii="仿宋" w:hAnsi="仿宋" w:eastAsia="仿宋" w:cs="仿宋"/>
          <w:sz w:val="28"/>
          <w:szCs w:val="28"/>
        </w:rPr>
        <w:t>出示证件后将大葱的检验报告（N0：JSP2023CJ30674）直接送达给经营者</w:t>
      </w:r>
      <w:r>
        <w:rPr>
          <w:rFonts w:hint="eastAsia" w:ascii="仿宋" w:hAnsi="仿宋" w:eastAsia="仿宋" w:cs="仿宋"/>
          <w:sz w:val="28"/>
          <w:szCs w:val="28"/>
          <w:lang w:val="en-US" w:eastAsia="zh-CN"/>
        </w:rPr>
        <w:t>**</w:t>
      </w:r>
      <w:r>
        <w:rPr>
          <w:rFonts w:hint="eastAsia" w:ascii="仿宋" w:hAnsi="仿宋" w:eastAsia="仿宋" w:cs="仿宋"/>
          <w:sz w:val="28"/>
          <w:szCs w:val="28"/>
        </w:rPr>
        <w:t>，并依法告知其享有申请复检的权利，后续在</w:t>
      </w:r>
      <w:r>
        <w:rPr>
          <w:rFonts w:hint="eastAsia" w:ascii="仿宋" w:hAnsi="仿宋" w:eastAsia="仿宋" w:cs="仿宋"/>
          <w:sz w:val="28"/>
          <w:szCs w:val="28"/>
          <w:lang w:val="en-US" w:eastAsia="zh-CN"/>
        </w:rPr>
        <w:t>**</w:t>
      </w:r>
      <w:r>
        <w:rPr>
          <w:rFonts w:hint="eastAsia" w:ascii="仿宋" w:hAnsi="仿宋" w:eastAsia="仿宋" w:cs="仿宋"/>
          <w:sz w:val="28"/>
          <w:szCs w:val="28"/>
        </w:rPr>
        <w:t>的陪同下进行了现场检查发现：1.该蔬菜店已取得了《营业执照》，统一社会信用代码：92131081MA0BWFW06G；已取得了《食品经营许可证》，许可证编号：JY11310810036337；2.未发现大葱；3.当事人未能提供该批大葱的票据及主体资格证</w:t>
      </w:r>
      <w:r>
        <w:rPr>
          <w:rFonts w:hint="eastAsia" w:ascii="仿宋" w:hAnsi="仿宋" w:eastAsia="仿宋" w:cs="仿宋"/>
          <w:sz w:val="28"/>
          <w:szCs w:val="28"/>
          <w:lang w:eastAsia="zh-CN"/>
        </w:rPr>
        <w:t>照</w:t>
      </w:r>
      <w:r>
        <w:rPr>
          <w:rFonts w:hint="eastAsia" w:ascii="仿宋" w:hAnsi="仿宋" w:eastAsia="仿宋" w:cs="仿宋"/>
          <w:sz w:val="28"/>
          <w:szCs w:val="28"/>
        </w:rPr>
        <w:t>，我局执法人员当场对其下达了《当场行政处罚决定书》给予警告，并下达了《责令改正通知书》，要求立即改正违法行为。当事人在法定期限内未对检验结果提出异议。2023年12月19日，我局执法人员对该蔬菜店进行现场检查发现：当事人销售的蔬菜均能提供进货商资质及票据。经领导批准，该案于2023年12月28日立案。2024年1月2日，我局执法人员对该蔬菜店经营者进行了询问调查。经查，当事人销售的农药残留超过食品安全标准限量的大葱是从益津市场一辆拉蔬菜的货车上购买的，共计购进了20千克，售价4元/千克，除6.35千克被抽检人员买走，余下13.65千克已全部销售，货值金额80元，违法所得80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1、2023年11月6日，执法人员制作的《现场笔录》、食品安全抽样检验抽样单及照片，证明了抽检的是当事人所销售的大葱及抽检数量。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2、2023年12月5日收到的《检验报告》N0：JSP2023CJ30674，证明了抽检的大葱检验结果为不合格</w:t>
      </w:r>
      <w:r>
        <w:rPr>
          <w:rFonts w:hint="eastAsia" w:ascii="仿宋" w:hAnsi="仿宋" w:eastAsia="仿宋" w:cs="仿宋"/>
          <w:sz w:val="28"/>
          <w:szCs w:val="28"/>
          <w:lang w:eastAsia="zh-CN"/>
        </w:rPr>
        <w:t>和案件来源</w:t>
      </w:r>
      <w:r>
        <w:rPr>
          <w:rFonts w:hint="eastAsia" w:ascii="仿宋" w:hAnsi="仿宋" w:eastAsia="仿宋" w:cs="仿宋"/>
          <w:color w:val="000000" w:themeColor="text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 xml:space="preserve">3、2023年12月5日执法人员制作的《现场笔录》及照片，证明了向当事人送达检验报告、告知复检权利及店里大葱已售完的事实。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4、2023年12月19日执法人员制作的《现场笔录》，证明了当事人销售的蔬菜均能提供进货商资质及票据。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5、2024年1月2日执法人员制作的《询问笔录》，证明了当事人销售不合格大葱的货值、违法所得等情况。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6、当事人提供的《营业执照》复印件、《食品经营许可证》复印件及经营者身份证复印件证明了当事人的基本情况。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事人销售农药残留超过食品安全标准限量的食用农产品的行为，根据《中华人民共和国行政处罚法》第四十四条、第四十五条、第六十三条、第六十四条第一款和《市场监督管理行政处罚听证办法》第五条的规定，我局已在</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日向当事人下达了行政处罚告知书（《霸市监罚告〔</w:t>
      </w:r>
      <w:r>
        <w:rPr>
          <w:rFonts w:hint="eastAsia" w:ascii="仿宋" w:hAnsi="仿宋" w:eastAsia="仿宋" w:cs="仿宋"/>
          <w:sz w:val="28"/>
          <w:szCs w:val="28"/>
          <w:lang w:val="en-US" w:eastAsia="zh-CN"/>
        </w:rPr>
        <w:t>2024</w:t>
      </w:r>
      <w:r>
        <w:rPr>
          <w:rFonts w:hint="eastAsia" w:ascii="仿宋" w:hAnsi="仿宋" w:eastAsia="仿宋" w:cs="仿宋"/>
          <w:sz w:val="28"/>
          <w:szCs w:val="28"/>
        </w:rPr>
        <w:t>〕</w:t>
      </w:r>
      <w:r>
        <w:rPr>
          <w:rFonts w:hint="eastAsia" w:ascii="仿宋" w:hAnsi="仿宋" w:eastAsia="仿宋" w:cs="仿宋"/>
          <w:sz w:val="28"/>
          <w:szCs w:val="28"/>
          <w:lang w:val="en-US" w:eastAsia="zh-CN"/>
        </w:rPr>
        <w:t>40</w:t>
      </w:r>
      <w:r>
        <w:rPr>
          <w:rFonts w:hint="eastAsia" w:ascii="仿宋" w:hAnsi="仿宋" w:eastAsia="仿宋" w:cs="仿宋"/>
          <w:sz w:val="28"/>
          <w:szCs w:val="28"/>
        </w:rPr>
        <w:t xml:space="preserve">号》），告知了当事人有提出听证和陈述、申辩的权利。在法定期限内，当事人未提出听证和陈述、申辩意见。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本局认为，当事人销售农药残留超过食品安全标准限量的食用农产品的行为违反了《食用农产品市场销售质量安全监督管理办法》第</w:t>
      </w:r>
      <w:r>
        <w:rPr>
          <w:rFonts w:hint="eastAsia" w:ascii="仿宋" w:hAnsi="仿宋" w:eastAsia="仿宋" w:cs="仿宋"/>
          <w:sz w:val="28"/>
          <w:szCs w:val="28"/>
          <w:lang w:eastAsia="zh-CN"/>
        </w:rPr>
        <w:t>十五条第一款</w:t>
      </w:r>
      <w:r>
        <w:rPr>
          <w:rFonts w:hint="eastAsia" w:ascii="仿宋" w:hAnsi="仿宋" w:eastAsia="仿宋" w:cs="仿宋"/>
          <w:sz w:val="28"/>
          <w:szCs w:val="28"/>
        </w:rPr>
        <w:t>“</w:t>
      </w:r>
      <w:r>
        <w:rPr>
          <w:rFonts w:hint="eastAsia" w:ascii="仿宋" w:hAnsi="仿宋" w:eastAsia="仿宋" w:cs="仿宋"/>
          <w:sz w:val="28"/>
          <w:szCs w:val="28"/>
          <w:lang w:eastAsia="zh-CN"/>
        </w:rPr>
        <w:t>禁止销售者采购、销售食品安全法第三十四条规定情形的食用农产品。”、《中华人民共和国食品安全法》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w:t>
      </w:r>
      <w:r>
        <w:rPr>
          <w:rFonts w:hint="eastAsia" w:ascii="仿宋" w:hAnsi="仿宋" w:eastAsia="仿宋" w:cs="仿宋"/>
          <w:sz w:val="28"/>
          <w:szCs w:val="28"/>
        </w:rPr>
        <w:t>，属于销售农药残留超过食品安全标准限量的食用农产品的行为。依据《中华人民共和国行政处罚法》第二十八条第一款“行政机关实施行政处罚时，应当责令当事人改正或者限期改正违法行为”、《食用农产品市场销售质量安全监督管理办法》</w:t>
      </w:r>
      <w:r>
        <w:rPr>
          <w:rFonts w:hint="eastAsia" w:ascii="仿宋" w:hAnsi="仿宋" w:eastAsia="仿宋" w:cs="仿宋"/>
          <w:sz w:val="28"/>
          <w:szCs w:val="28"/>
          <w:lang w:eastAsia="zh-CN"/>
        </w:rPr>
        <w:t>第四十二条</w:t>
      </w:r>
      <w:r>
        <w:rPr>
          <w:rFonts w:hint="eastAsia" w:ascii="仿宋" w:hAnsi="仿宋" w:eastAsia="仿宋" w:cs="仿宋"/>
          <w:sz w:val="28"/>
          <w:szCs w:val="28"/>
        </w:rPr>
        <w:t>“</w:t>
      </w:r>
      <w:r>
        <w:rPr>
          <w:rFonts w:hint="eastAsia" w:ascii="仿宋" w:hAnsi="仿宋" w:eastAsia="仿宋" w:cs="仿宋"/>
          <w:sz w:val="28"/>
          <w:szCs w:val="28"/>
          <w:lang w:eastAsia="zh-CN"/>
        </w:rPr>
        <w:t>销售者违反本办法第十五条规定，采购、销售食品安全法第三十四条规定情形的食用农产品的，由县级以上市场监督管理部门依照食品安全法有关规定给予处罚。</w:t>
      </w:r>
      <w:r>
        <w:rPr>
          <w:rFonts w:hint="eastAsia" w:ascii="仿宋" w:hAnsi="仿宋" w:eastAsia="仿宋" w:cs="仿宋"/>
          <w:sz w:val="28"/>
          <w:szCs w:val="28"/>
        </w:rPr>
        <w:t>”、《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(一)生产经营致病性微生物，农药残留、兽药残留、生物毒素、重金属等污染物质以及其他危害人体健康的物质含量超过食品安全标准限量的食品、食品添加剂;”的规定，应给予处罚。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当事人仅购进</w:t>
      </w:r>
      <w:r>
        <w:rPr>
          <w:rFonts w:hint="eastAsia" w:ascii="仿宋" w:hAnsi="仿宋" w:eastAsia="仿宋" w:cs="仿宋"/>
          <w:sz w:val="28"/>
          <w:szCs w:val="28"/>
          <w:lang w:eastAsia="zh-CN"/>
        </w:rPr>
        <w:t>大葱</w:t>
      </w:r>
      <w:r>
        <w:rPr>
          <w:rFonts w:hint="eastAsia" w:ascii="仿宋" w:hAnsi="仿宋" w:eastAsia="仿宋" w:cs="仿宋"/>
          <w:sz w:val="28"/>
          <w:szCs w:val="28"/>
          <w:lang w:val="en-US" w:eastAsia="zh-CN"/>
        </w:rPr>
        <w:t>20千克</w:t>
      </w:r>
      <w:r>
        <w:rPr>
          <w:rFonts w:hint="eastAsia" w:ascii="仿宋" w:hAnsi="仿宋" w:eastAsia="仿宋" w:cs="仿宋"/>
          <w:sz w:val="28"/>
          <w:szCs w:val="28"/>
        </w:rPr>
        <w:t>，货值金额</w:t>
      </w:r>
      <w:r>
        <w:rPr>
          <w:rFonts w:hint="eastAsia" w:ascii="仿宋" w:hAnsi="仿宋" w:eastAsia="仿宋" w:cs="仿宋"/>
          <w:sz w:val="28"/>
          <w:szCs w:val="28"/>
          <w:lang w:val="en-US" w:eastAsia="zh-CN"/>
        </w:rPr>
        <w:t>80</w:t>
      </w:r>
      <w:r>
        <w:rPr>
          <w:rFonts w:hint="eastAsia" w:ascii="仿宋" w:hAnsi="仿宋" w:eastAsia="仿宋" w:cs="仿宋"/>
          <w:sz w:val="28"/>
          <w:szCs w:val="28"/>
        </w:rPr>
        <w:t>元，违法行为轻微，社会危害性较小，符合《河北省市场监督管理系统行政处罚裁量权适用规则》第十五条第三项“当事人有下列情形之一的，可以依法从轻或者减轻行政处罚：（三）违法行为轻微，社会危害性较小的；”可以依法减轻行政处罚的规定，参照《河北省市场监督管理系统行政处罚裁量权适用规则》第九条第一项“实施行政处罚，应当明确区分减轻行政处罚、从轻行政处罚、一般行政处罚、从重行政处罚的不同情况，准确行使行政处罚裁量权。（一）减轻行政处罚是指适用法定行政处罚最低限度以下的行政处罚种类或者行政处罚幅度。包括在违法行为应当受到的一种或者几种行政处罚种类之外选择更轻的行政处罚种类，或者在应当并处时不并处；也包括在法定最低罚款数额以下确定罚款数额。”的规定，对当事人处以在法定最低罚款数额以下的行政处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综上，当事人销售农药残留超过食品安全标准限量的食用农产品的行为，违反了《食用农产品市场销售质量安全监督管理办法》第</w:t>
      </w:r>
      <w:r>
        <w:rPr>
          <w:rFonts w:hint="eastAsia" w:ascii="仿宋" w:hAnsi="仿宋" w:eastAsia="仿宋" w:cs="仿宋"/>
          <w:sz w:val="28"/>
          <w:szCs w:val="28"/>
          <w:lang w:eastAsia="zh-CN"/>
        </w:rPr>
        <w:t>十五条第一款、《中华人民共和国食品安全法》第三十四条第二项</w:t>
      </w:r>
      <w:r>
        <w:rPr>
          <w:rFonts w:hint="eastAsia" w:ascii="仿宋" w:hAnsi="仿宋" w:eastAsia="仿宋" w:cs="仿宋"/>
          <w:sz w:val="28"/>
          <w:szCs w:val="28"/>
        </w:rPr>
        <w:t>，依据《中华人民共和国行政处罚法》第二十八条第一款、《食用农产品市场销售质量安全监督管理办法》</w:t>
      </w:r>
      <w:r>
        <w:rPr>
          <w:rFonts w:hint="eastAsia" w:ascii="仿宋" w:hAnsi="仿宋" w:eastAsia="仿宋" w:cs="仿宋"/>
          <w:sz w:val="28"/>
          <w:szCs w:val="28"/>
          <w:lang w:eastAsia="zh-CN"/>
        </w:rPr>
        <w:t>第四十二条</w:t>
      </w:r>
      <w:r>
        <w:rPr>
          <w:rFonts w:hint="eastAsia" w:ascii="仿宋" w:hAnsi="仿宋" w:eastAsia="仿宋" w:cs="仿宋"/>
          <w:sz w:val="28"/>
          <w:szCs w:val="28"/>
        </w:rPr>
        <w:t>、《中华人民共和国食品安全法》第一百二十四条第一款第一项的规定，现责令当事人改正上述违法行为，并决定处罚如下：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1、没收违法所得</w:t>
      </w:r>
      <w:r>
        <w:rPr>
          <w:rFonts w:hint="eastAsia" w:ascii="仿宋" w:hAnsi="仿宋" w:eastAsia="仿宋" w:cs="仿宋"/>
          <w:sz w:val="28"/>
          <w:szCs w:val="28"/>
          <w:lang w:val="en-US" w:eastAsia="zh-CN"/>
        </w:rPr>
        <w:t>80</w:t>
      </w:r>
      <w:r>
        <w:rPr>
          <w:rFonts w:hint="eastAsia" w:ascii="仿宋" w:hAnsi="仿宋" w:eastAsia="仿宋" w:cs="仿宋"/>
          <w:sz w:val="28"/>
          <w:szCs w:val="28"/>
        </w:rPr>
        <w:t>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2、处罚款</w:t>
      </w:r>
      <w:r>
        <w:rPr>
          <w:rFonts w:hint="eastAsia" w:ascii="仿宋" w:hAnsi="仿宋" w:eastAsia="仿宋" w:cs="仿宋"/>
          <w:sz w:val="28"/>
          <w:szCs w:val="28"/>
          <w:lang w:val="en-US" w:eastAsia="zh-CN"/>
        </w:rPr>
        <w:t>5500</w:t>
      </w:r>
      <w:r>
        <w:rPr>
          <w:rFonts w:hint="eastAsia" w:ascii="仿宋" w:hAnsi="仿宋" w:eastAsia="仿宋" w:cs="仿宋"/>
          <w:sz w:val="28"/>
          <w:szCs w:val="28"/>
        </w:rPr>
        <w:t>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当事人应当自收到本行政处罚决定书之日起十五日内，将罚没款缴至中国建设银行霸州支行（代收机构名称：霸州市财政局非税收入专户，地址：霸州市金康东道216号）。到期不缴纳罚款的，依据《中华人民共和国行政处罚法》第七十二条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pacing w:val="-4"/>
          <w:sz w:val="28"/>
          <w:szCs w:val="28"/>
        </w:rPr>
      </w:pPr>
      <w:r>
        <w:rPr>
          <w:rFonts w:hint="eastAsia" w:ascii="仿宋" w:hAnsi="仿宋" w:eastAsia="仿宋" w:cs="仿宋"/>
          <w:sz w:val="28"/>
          <w:szCs w:val="28"/>
        </w:rPr>
        <w:t>如你不服本行政处罚决定，可以在收到本行政处罚决定书之日起六十日内向霸州市人民政府申请行政复议；也可以在六个月内依法向霸州市人民法院提起行政诉讼。申请行政复议或提起行政诉讼期间，行政处罚不停止执行。</w:t>
      </w:r>
    </w:p>
    <w:p>
      <w:pPr>
        <w:keepNext w:val="0"/>
        <w:keepLines w:val="0"/>
        <w:pageBreakBefore w:val="0"/>
        <w:widowControl w:val="0"/>
        <w:kinsoku/>
        <w:overflowPunct/>
        <w:topLinePunct w:val="0"/>
        <w:autoSpaceDE/>
        <w:autoSpaceDN/>
        <w:bidi w:val="0"/>
        <w:adjustRightInd/>
        <w:snapToGrid/>
        <w:spacing w:line="440" w:lineRule="exact"/>
        <w:ind w:firstLine="5712" w:firstLineChars="2100"/>
        <w:textAlignment w:val="auto"/>
        <w:rPr>
          <w:rFonts w:hint="eastAsia" w:ascii="仿宋" w:hAnsi="仿宋" w:eastAsia="仿宋" w:cs="仿宋"/>
          <w:color w:val="000000" w:themeColor="text1"/>
          <w:spacing w:val="-4"/>
          <w:sz w:val="28"/>
          <w:szCs w:val="28"/>
        </w:rPr>
      </w:pPr>
    </w:p>
    <w:p>
      <w:pPr>
        <w:keepNext w:val="0"/>
        <w:keepLines w:val="0"/>
        <w:pageBreakBefore w:val="0"/>
        <w:widowControl w:val="0"/>
        <w:kinsoku/>
        <w:overflowPunct/>
        <w:topLinePunct w:val="0"/>
        <w:autoSpaceDE/>
        <w:autoSpaceDN/>
        <w:bidi w:val="0"/>
        <w:adjustRightInd/>
        <w:snapToGrid/>
        <w:spacing w:line="440" w:lineRule="exact"/>
        <w:ind w:firstLine="5712" w:firstLineChars="2100"/>
        <w:textAlignment w:val="auto"/>
        <w:rPr>
          <w:rFonts w:hint="eastAsia" w:ascii="仿宋" w:hAnsi="仿宋" w:eastAsia="仿宋" w:cs="仿宋"/>
          <w:color w:val="000000" w:themeColor="text1"/>
          <w:spacing w:val="-4"/>
          <w:sz w:val="28"/>
          <w:szCs w:val="28"/>
        </w:rPr>
      </w:pPr>
      <w:r>
        <w:rPr>
          <w:rFonts w:hint="eastAsia" w:ascii="仿宋" w:hAnsi="仿宋" w:eastAsia="仿宋" w:cs="仿宋"/>
          <w:color w:val="000000" w:themeColor="text1"/>
          <w:spacing w:val="-4"/>
          <w:sz w:val="28"/>
          <w:szCs w:val="28"/>
        </w:rPr>
        <w:t>霸州市市场监督</w:t>
      </w:r>
      <w:r>
        <w:rPr>
          <w:rFonts w:hint="eastAsia" w:ascii="仿宋" w:hAnsi="仿宋" w:eastAsia="仿宋" w:cs="仿宋"/>
          <w:color w:val="000000" w:themeColor="text1"/>
          <w:spacing w:val="-4"/>
          <w:sz w:val="28"/>
          <w:szCs w:val="28"/>
          <w:lang w:eastAsia="zh-CN"/>
        </w:rPr>
        <w:t>管</w:t>
      </w:r>
      <w:r>
        <w:rPr>
          <w:rFonts w:hint="eastAsia" w:ascii="仿宋" w:hAnsi="仿宋" w:eastAsia="仿宋" w:cs="仿宋"/>
          <w:color w:val="000000" w:themeColor="text1"/>
          <w:spacing w:val="-4"/>
          <w:sz w:val="28"/>
          <w:szCs w:val="28"/>
        </w:rPr>
        <w:t xml:space="preserve">理局 </w:t>
      </w:r>
    </w:p>
    <w:p>
      <w:pPr>
        <w:keepNext w:val="0"/>
        <w:keepLines w:val="0"/>
        <w:pageBreakBefore w:val="0"/>
        <w:widowControl w:val="0"/>
        <w:tabs>
          <w:tab w:val="left" w:pos="5667"/>
        </w:tabs>
        <w:kinsoku/>
        <w:wordWrap w:val="0"/>
        <w:overflowPunct/>
        <w:topLinePunct w:val="0"/>
        <w:autoSpaceDE/>
        <w:autoSpaceDN/>
        <w:bidi w:val="0"/>
        <w:adjustRightInd/>
        <w:snapToGrid/>
        <w:spacing w:before="104" w:line="440" w:lineRule="exact"/>
        <w:ind w:left="105" w:leftChars="50" w:right="861" w:firstLine="544" w:firstLineChars="200"/>
        <w:jc w:val="right"/>
        <w:textAlignment w:val="auto"/>
        <w:rPr>
          <w:rFonts w:hint="eastAsia" w:ascii="仿宋" w:hAnsi="仿宋" w:eastAsia="仿宋" w:cs="仿宋"/>
          <w:color w:val="000000" w:themeColor="text1"/>
          <w:spacing w:val="-4"/>
          <w:sz w:val="28"/>
          <w:szCs w:val="28"/>
        </w:rPr>
      </w:pPr>
      <w:r>
        <w:rPr>
          <w:rFonts w:hint="eastAsia" w:ascii="仿宋" w:hAnsi="仿宋" w:eastAsia="仿宋" w:cs="仿宋"/>
          <w:color w:val="000000" w:themeColor="text1"/>
          <w:spacing w:val="-4"/>
          <w:sz w:val="28"/>
          <w:szCs w:val="28"/>
          <w:lang w:val="en-US" w:eastAsia="zh-CN"/>
        </w:rPr>
        <w:t>2024</w:t>
      </w:r>
      <w:r>
        <w:rPr>
          <w:rFonts w:hint="eastAsia" w:ascii="仿宋" w:hAnsi="仿宋" w:eastAsia="仿宋" w:cs="仿宋"/>
          <w:color w:val="000000" w:themeColor="text1"/>
          <w:spacing w:val="-4"/>
          <w:sz w:val="28"/>
          <w:szCs w:val="28"/>
          <w:lang w:eastAsia="zh-CN"/>
        </w:rPr>
        <w:t>年</w:t>
      </w:r>
      <w:r>
        <w:rPr>
          <w:rFonts w:hint="eastAsia" w:ascii="仿宋" w:hAnsi="仿宋" w:eastAsia="仿宋" w:cs="仿宋"/>
          <w:color w:val="000000" w:themeColor="text1"/>
          <w:spacing w:val="-4"/>
          <w:sz w:val="28"/>
          <w:szCs w:val="28"/>
          <w:lang w:val="en-US" w:eastAsia="zh-CN"/>
        </w:rPr>
        <w:t xml:space="preserve"> 2</w:t>
      </w:r>
      <w:r>
        <w:rPr>
          <w:rFonts w:hint="eastAsia" w:ascii="仿宋" w:hAnsi="仿宋" w:eastAsia="仿宋" w:cs="仿宋"/>
          <w:color w:val="000000" w:themeColor="text1"/>
          <w:spacing w:val="-4"/>
          <w:sz w:val="28"/>
          <w:szCs w:val="28"/>
          <w:lang w:eastAsia="zh-CN"/>
        </w:rPr>
        <w:t>月</w:t>
      </w:r>
      <w:r>
        <w:rPr>
          <w:rFonts w:hint="eastAsia" w:ascii="仿宋" w:hAnsi="仿宋" w:eastAsia="仿宋" w:cs="仿宋"/>
          <w:color w:val="000000" w:themeColor="text1"/>
          <w:spacing w:val="-4"/>
          <w:sz w:val="28"/>
          <w:szCs w:val="28"/>
          <w:lang w:val="en-US" w:eastAsia="zh-CN"/>
        </w:rPr>
        <w:t xml:space="preserve"> 4</w:t>
      </w:r>
      <w:r>
        <w:rPr>
          <w:rFonts w:hint="eastAsia" w:ascii="仿宋" w:hAnsi="仿宋" w:eastAsia="仿宋" w:cs="仿宋"/>
          <w:color w:val="000000" w:themeColor="text1"/>
          <w:spacing w:val="-4"/>
          <w:sz w:val="28"/>
          <w:szCs w:val="28"/>
          <w:lang w:eastAsia="zh-CN"/>
        </w:rPr>
        <w:t>日</w:t>
      </w:r>
      <w:r>
        <w:rPr>
          <w:rFonts w:hint="eastAsia" w:ascii="仿宋" w:hAnsi="仿宋" w:eastAsia="仿宋" w:cs="仿宋"/>
          <w:color w:val="000000" w:themeColor="text1"/>
          <w:spacing w:val="-4"/>
          <w:sz w:val="28"/>
          <w:szCs w:val="28"/>
        </w:rPr>
        <w:t xml:space="preserve"> </w:t>
      </w:r>
    </w:p>
    <w:p/>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03ACD"/>
    <w:multiLevelType w:val="multilevel"/>
    <w:tmpl w:val="63A03ACD"/>
    <w:lvl w:ilvl="0" w:tentative="0">
      <w:start w:val="1"/>
      <w:numFmt w:val="none"/>
      <w:pStyle w:val="2"/>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FkMDJkNDExM2IwMmExNDE4M2QxYTE5NzIwN2NjNTEifQ=="/>
  </w:docVars>
  <w:rsids>
    <w:rsidRoot w:val="00EC1C51"/>
    <w:rsid w:val="00030B94"/>
    <w:rsid w:val="00092E06"/>
    <w:rsid w:val="000F2CD0"/>
    <w:rsid w:val="00161AD6"/>
    <w:rsid w:val="001E6378"/>
    <w:rsid w:val="00202F4A"/>
    <w:rsid w:val="00205369"/>
    <w:rsid w:val="00241C80"/>
    <w:rsid w:val="00270FC7"/>
    <w:rsid w:val="002B5D96"/>
    <w:rsid w:val="003F3B4D"/>
    <w:rsid w:val="00445979"/>
    <w:rsid w:val="00456EFC"/>
    <w:rsid w:val="00597801"/>
    <w:rsid w:val="005C232A"/>
    <w:rsid w:val="005E6790"/>
    <w:rsid w:val="00634850"/>
    <w:rsid w:val="00634F47"/>
    <w:rsid w:val="006B642F"/>
    <w:rsid w:val="006C06C5"/>
    <w:rsid w:val="007D6D70"/>
    <w:rsid w:val="0089646F"/>
    <w:rsid w:val="008B1502"/>
    <w:rsid w:val="00907A78"/>
    <w:rsid w:val="00991B08"/>
    <w:rsid w:val="00AA609E"/>
    <w:rsid w:val="00B2019E"/>
    <w:rsid w:val="00B2758A"/>
    <w:rsid w:val="00B614C4"/>
    <w:rsid w:val="00BB39BB"/>
    <w:rsid w:val="00BF3375"/>
    <w:rsid w:val="00C10A8B"/>
    <w:rsid w:val="00C85AB1"/>
    <w:rsid w:val="00CC1AB6"/>
    <w:rsid w:val="00D64E2E"/>
    <w:rsid w:val="00D9086F"/>
    <w:rsid w:val="00DE0395"/>
    <w:rsid w:val="00E82198"/>
    <w:rsid w:val="00EC1C51"/>
    <w:rsid w:val="00ED3FFB"/>
    <w:rsid w:val="00FC5601"/>
    <w:rsid w:val="028E06CE"/>
    <w:rsid w:val="05EB03D3"/>
    <w:rsid w:val="06F9241A"/>
    <w:rsid w:val="07426511"/>
    <w:rsid w:val="09297778"/>
    <w:rsid w:val="0AB505D9"/>
    <w:rsid w:val="0BB47F3A"/>
    <w:rsid w:val="0C4A7FC0"/>
    <w:rsid w:val="0CDB4981"/>
    <w:rsid w:val="0DED6E02"/>
    <w:rsid w:val="0FFC7685"/>
    <w:rsid w:val="11125187"/>
    <w:rsid w:val="137912FC"/>
    <w:rsid w:val="14BF71E2"/>
    <w:rsid w:val="155F2462"/>
    <w:rsid w:val="17FB1BF5"/>
    <w:rsid w:val="18A84E82"/>
    <w:rsid w:val="1DDF4C23"/>
    <w:rsid w:val="1FA039FF"/>
    <w:rsid w:val="1FD60202"/>
    <w:rsid w:val="1FFA69BA"/>
    <w:rsid w:val="1FFD270A"/>
    <w:rsid w:val="21746F3A"/>
    <w:rsid w:val="22FD42C4"/>
    <w:rsid w:val="22FD935A"/>
    <w:rsid w:val="28CF89B5"/>
    <w:rsid w:val="2EEE48EA"/>
    <w:rsid w:val="307E13C0"/>
    <w:rsid w:val="309F0BC9"/>
    <w:rsid w:val="31BF15A9"/>
    <w:rsid w:val="3754524E"/>
    <w:rsid w:val="37DDEC97"/>
    <w:rsid w:val="3897632A"/>
    <w:rsid w:val="3A94A071"/>
    <w:rsid w:val="3BE40F29"/>
    <w:rsid w:val="3CF586EA"/>
    <w:rsid w:val="3E796F2D"/>
    <w:rsid w:val="3F25387D"/>
    <w:rsid w:val="3FEB61C6"/>
    <w:rsid w:val="3FFD3EF1"/>
    <w:rsid w:val="3FFF7BFA"/>
    <w:rsid w:val="414F66D2"/>
    <w:rsid w:val="41A53458"/>
    <w:rsid w:val="42FF2B1A"/>
    <w:rsid w:val="4358443E"/>
    <w:rsid w:val="44C159D4"/>
    <w:rsid w:val="45B53062"/>
    <w:rsid w:val="46001CF1"/>
    <w:rsid w:val="4A9D5477"/>
    <w:rsid w:val="4B1E2E79"/>
    <w:rsid w:val="4B2C3DDC"/>
    <w:rsid w:val="4BF7F463"/>
    <w:rsid w:val="4C3F209A"/>
    <w:rsid w:val="4D7A6B70"/>
    <w:rsid w:val="4DB84213"/>
    <w:rsid w:val="4FFFD899"/>
    <w:rsid w:val="51D1792A"/>
    <w:rsid w:val="527C1866"/>
    <w:rsid w:val="52FE76C6"/>
    <w:rsid w:val="53278565"/>
    <w:rsid w:val="54144F84"/>
    <w:rsid w:val="564509CB"/>
    <w:rsid w:val="571056B9"/>
    <w:rsid w:val="57B8A53B"/>
    <w:rsid w:val="59AC1F6F"/>
    <w:rsid w:val="5A8B6F17"/>
    <w:rsid w:val="5B8C3CF4"/>
    <w:rsid w:val="5BBA2175"/>
    <w:rsid w:val="5C4E019E"/>
    <w:rsid w:val="5D053352"/>
    <w:rsid w:val="5F910C5E"/>
    <w:rsid w:val="5FE727B5"/>
    <w:rsid w:val="61311894"/>
    <w:rsid w:val="61A53D8B"/>
    <w:rsid w:val="66DA32B8"/>
    <w:rsid w:val="684C0620"/>
    <w:rsid w:val="68D727BF"/>
    <w:rsid w:val="690F77C1"/>
    <w:rsid w:val="69FDBDB4"/>
    <w:rsid w:val="6B2E743F"/>
    <w:rsid w:val="6BAF7841"/>
    <w:rsid w:val="6C534E67"/>
    <w:rsid w:val="6EDA85D7"/>
    <w:rsid w:val="6EEB648C"/>
    <w:rsid w:val="6F9F72AB"/>
    <w:rsid w:val="709D439D"/>
    <w:rsid w:val="72541E8D"/>
    <w:rsid w:val="72FF0A0E"/>
    <w:rsid w:val="75444579"/>
    <w:rsid w:val="75AF4417"/>
    <w:rsid w:val="75B7766C"/>
    <w:rsid w:val="767570C7"/>
    <w:rsid w:val="77846D1D"/>
    <w:rsid w:val="77DE5168"/>
    <w:rsid w:val="78081CEF"/>
    <w:rsid w:val="7AF7BC9B"/>
    <w:rsid w:val="7B113011"/>
    <w:rsid w:val="7B4FE82D"/>
    <w:rsid w:val="7C8C5D31"/>
    <w:rsid w:val="7D8FF51B"/>
    <w:rsid w:val="7EAD10CA"/>
    <w:rsid w:val="7FC78797"/>
    <w:rsid w:val="7FE9AA7F"/>
    <w:rsid w:val="7FF7DAD2"/>
    <w:rsid w:val="7FFBE5F4"/>
    <w:rsid w:val="7FFFFB13"/>
    <w:rsid w:val="8BFDA197"/>
    <w:rsid w:val="8DFE2AC8"/>
    <w:rsid w:val="8FA7B582"/>
    <w:rsid w:val="912B0778"/>
    <w:rsid w:val="9AE341A6"/>
    <w:rsid w:val="A3EF3F4E"/>
    <w:rsid w:val="AFCF371D"/>
    <w:rsid w:val="BDFE890D"/>
    <w:rsid w:val="BF56DAD0"/>
    <w:rsid w:val="BFBE88ED"/>
    <w:rsid w:val="CFF3984A"/>
    <w:rsid w:val="DDA74BFF"/>
    <w:rsid w:val="DDEB097C"/>
    <w:rsid w:val="DF5FA80B"/>
    <w:rsid w:val="EF3B9CA0"/>
    <w:rsid w:val="F4FF15BE"/>
    <w:rsid w:val="F7EFDD08"/>
    <w:rsid w:val="F7FF0AF2"/>
    <w:rsid w:val="F97EA0F8"/>
    <w:rsid w:val="F9BF80C3"/>
    <w:rsid w:val="FB57AAE7"/>
    <w:rsid w:val="FB6043D1"/>
    <w:rsid w:val="FCF46EDE"/>
    <w:rsid w:val="FDBF5D49"/>
    <w:rsid w:val="FEF19E4B"/>
    <w:rsid w:val="FFBFFE34"/>
    <w:rsid w:val="FFF38A5A"/>
    <w:rsid w:val="FFFB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6"/>
    <w:pPr>
      <w:keepNext/>
      <w:numPr>
        <w:ilvl w:val="0"/>
        <w:numId w:val="1"/>
      </w:numPr>
      <w:tabs>
        <w:tab w:val="left" w:pos="0"/>
      </w:tabs>
      <w:spacing w:before="240" w:after="120"/>
      <w:ind w:left="0" w:firstLine="0"/>
      <w:jc w:val="left"/>
      <w:outlineLvl w:val="0"/>
    </w:pPr>
    <w:rPr>
      <w:b/>
      <w:sz w:val="44"/>
      <w:szCs w:val="44"/>
    </w:rPr>
  </w:style>
  <w:style w:type="paragraph" w:styleId="3">
    <w:name w:val="heading 2"/>
    <w:basedOn w:val="1"/>
    <w:next w:val="1"/>
    <w:link w:val="13"/>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标题 2 Char"/>
    <w:basedOn w:val="10"/>
    <w:link w:val="3"/>
    <w:qFormat/>
    <w:uiPriority w:val="0"/>
    <w:rPr>
      <w:rFonts w:ascii="Arial" w:hAnsi="Arial" w:eastAsia="黑体" w:cs="Times New Roman"/>
      <w:b/>
      <w:sz w:val="32"/>
      <w:szCs w:val="24"/>
    </w:rPr>
  </w:style>
  <w:style w:type="table" w:customStyle="1" w:styleId="14">
    <w:name w:val="Table Normal"/>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paragraph" w:customStyle="1" w:styleId="17">
    <w:name w:val="p17"/>
    <w:basedOn w:val="1"/>
    <w:qFormat/>
    <w:uiPriority w:val="99"/>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12934</Words>
  <Characters>14203</Characters>
  <Lines>104</Lines>
  <Paragraphs>29</Paragraphs>
  <TotalTime>1</TotalTime>
  <ScaleCrop>false</ScaleCrop>
  <LinksUpToDate>false</LinksUpToDate>
  <CharactersWithSpaces>18423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2021-11-08T09:16:00Z</dcterms:created>
  <dc:creator>xbany</dc:creator>
  <cp:lastModifiedBy>lenovo</cp:lastModifiedBy>
  <cp:lastPrinted>2024-01-30T09:37:00Z</cp:lastPrinted>
  <dcterms:modified xsi:type="dcterms:W3CDTF">2024-02-04T07:58:28Z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4C5332388BD74A7599EA71A69BE09B16</vt:lpwstr>
  </property>
</Properties>
</file>